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A4" w:rsidRPr="00864B6F" w:rsidRDefault="00997EA4" w:rsidP="00864B6F">
      <w:pPr>
        <w:spacing w:after="120" w:line="360" w:lineRule="auto"/>
        <w:jc w:val="both"/>
        <w:rPr>
          <w:b/>
          <w:sz w:val="24"/>
          <w:szCs w:val="24"/>
        </w:rPr>
      </w:pPr>
      <w:r w:rsidRPr="00864B6F">
        <w:rPr>
          <w:b/>
          <w:sz w:val="24"/>
          <w:szCs w:val="24"/>
        </w:rPr>
        <w:t>Institute of Pharmacy</w:t>
      </w:r>
    </w:p>
    <w:p w:rsidR="00864B6F" w:rsidRPr="00003A56" w:rsidRDefault="00997EA4" w:rsidP="00864B6F">
      <w:pPr>
        <w:spacing w:after="120" w:line="360" w:lineRule="auto"/>
        <w:jc w:val="both"/>
        <w:rPr>
          <w:b/>
          <w:sz w:val="24"/>
          <w:szCs w:val="24"/>
        </w:rPr>
      </w:pPr>
      <w:r w:rsidRPr="00864B6F">
        <w:rPr>
          <w:b/>
          <w:sz w:val="24"/>
          <w:szCs w:val="24"/>
        </w:rPr>
        <w:t>Program Outcomes</w:t>
      </w:r>
      <w:bookmarkStart w:id="0" w:name="_GoBack"/>
      <w:bookmarkEnd w:id="0"/>
    </w:p>
    <w:p w:rsidR="003F54AC" w:rsidRPr="00864B6F" w:rsidRDefault="003F54AC" w:rsidP="00864B6F">
      <w:pPr>
        <w:spacing w:after="120" w:line="360" w:lineRule="auto"/>
        <w:jc w:val="both"/>
        <w:rPr>
          <w:b/>
          <w:sz w:val="24"/>
          <w:szCs w:val="24"/>
        </w:rPr>
      </w:pPr>
      <w:r w:rsidRPr="00864B6F">
        <w:rPr>
          <w:b/>
          <w:sz w:val="24"/>
          <w:szCs w:val="24"/>
        </w:rPr>
        <w:t>M.</w:t>
      </w:r>
      <w:r w:rsidR="00864B6F">
        <w:rPr>
          <w:b/>
          <w:sz w:val="24"/>
          <w:szCs w:val="24"/>
        </w:rPr>
        <w:t xml:space="preserve"> </w:t>
      </w:r>
      <w:r w:rsidRPr="00864B6F">
        <w:rPr>
          <w:b/>
          <w:sz w:val="24"/>
          <w:szCs w:val="24"/>
        </w:rPr>
        <w:t>Pharm (Pharmaceutical Chemistry)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PO-1:</w:t>
      </w:r>
      <w:r w:rsidRPr="00864B6F">
        <w:t> </w:t>
      </w:r>
      <w:r w:rsidR="003F54AC" w:rsidRPr="00864B6F">
        <w:rPr>
          <w:rStyle w:val="Strong"/>
        </w:rPr>
        <w:t>Advanced Pharmaceutical Chemistry Knowledge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Demonstrate in-depth knowledge of advanced concepts in pharmaceutical chemistry, including organic synthesis, medicinal chemistry, and analytical techniques.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PO-2:</w:t>
      </w:r>
      <w:r w:rsidRPr="00864B6F">
        <w:t> </w:t>
      </w:r>
      <w:r w:rsidR="003F54AC" w:rsidRPr="00864B6F">
        <w:rPr>
          <w:rStyle w:val="Strong"/>
        </w:rPr>
        <w:t>Research and Problem-Solving Skills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Develop research aptitude and problem-solving skills by designing, conducting, and analyzing experiments in drug discovery, development, and quality control.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PO-3:</w:t>
      </w:r>
      <w:r w:rsidRPr="00864B6F">
        <w:t> </w:t>
      </w:r>
      <w:r w:rsidR="003F54AC" w:rsidRPr="00864B6F">
        <w:rPr>
          <w:rStyle w:val="Strong"/>
        </w:rPr>
        <w:t>Modern Analytical Techniques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Apply modern analytical tools like HPLC, GC, NMR, and Mass Spectrometry for drug characterization, stability studies, and impurity profiling.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PO-4:</w:t>
      </w:r>
      <w:r w:rsidRPr="00864B6F">
        <w:t> </w:t>
      </w:r>
      <w:r w:rsidR="003F54AC" w:rsidRPr="00864B6F">
        <w:rPr>
          <w:rStyle w:val="Strong"/>
        </w:rPr>
        <w:t>Drug Design and Development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 xml:space="preserve">Utilize computational chemistry, molecular </w:t>
      </w:r>
      <w:proofErr w:type="spellStart"/>
      <w:r w:rsidRPr="00864B6F">
        <w:t>modeling</w:t>
      </w:r>
      <w:proofErr w:type="spellEnd"/>
      <w:r w:rsidRPr="00864B6F">
        <w:t>, and QSAR studies for rational drug design and lead optimization.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PO-5:</w:t>
      </w:r>
      <w:r w:rsidRPr="00864B6F">
        <w:t> </w:t>
      </w:r>
      <w:r w:rsidR="003F54AC" w:rsidRPr="00864B6F">
        <w:rPr>
          <w:rStyle w:val="Strong"/>
        </w:rPr>
        <w:t>Regulatory and Quality Compliance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Understand global regulatory guidelines (FDA, ICH, WHO) and ensure compliance in pharmaceutical research, development, and manufacturing.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PO-6: </w:t>
      </w:r>
      <w:r w:rsidR="003F54AC" w:rsidRPr="00864B6F">
        <w:rPr>
          <w:rStyle w:val="Strong"/>
        </w:rPr>
        <w:t>Synthesis and Characterization of Bioactive Molecules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lastRenderedPageBreak/>
        <w:br/>
        <w:t>Develop expertise in synthesizing, purifying, and characterizing new chemical entities (NCEs) with potential pharmacological activity.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PO-7: </w:t>
      </w:r>
      <w:r w:rsidR="003F54AC" w:rsidRPr="00864B6F">
        <w:rPr>
          <w:rStyle w:val="Strong"/>
        </w:rPr>
        <w:t>Pharmaceutical Formulation and Development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Collaborate with formulation scientists to develop stable and effective pharmaceutical dosage forms.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PO-8: </w:t>
      </w:r>
      <w:r w:rsidR="003F54AC" w:rsidRPr="00864B6F">
        <w:rPr>
          <w:rStyle w:val="Strong"/>
        </w:rPr>
        <w:t>Interdisciplinary and Industrial Applications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Integrate knowledge from pharmacology, biotechnology, and material sciences to contribute to interdisciplinary drug development projects.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PO-9: </w:t>
      </w:r>
      <w:r w:rsidR="003F54AC" w:rsidRPr="00864B6F">
        <w:rPr>
          <w:rStyle w:val="Strong"/>
        </w:rPr>
        <w:t>Ethical and Professional Responsibility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Uphold professional ethics, intellectual property rights (IPR), and good laboratory practices (GLP) in pharmaceutical research and industry.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PO-10: </w:t>
      </w:r>
      <w:r w:rsidR="003F54AC" w:rsidRPr="00864B6F">
        <w:rPr>
          <w:rStyle w:val="Strong"/>
        </w:rPr>
        <w:t>Communication and Scientific Writing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Develop effective communication and technical writing skills for publishing research articles, patents, and regulatory submissions.</w:t>
      </w:r>
    </w:p>
    <w:p w:rsidR="008503C0" w:rsidRPr="00864B6F" w:rsidRDefault="008503C0" w:rsidP="00864B6F">
      <w:pPr>
        <w:pStyle w:val="NormalWeb"/>
        <w:spacing w:line="360" w:lineRule="auto"/>
        <w:jc w:val="both"/>
        <w:rPr>
          <w:b/>
          <w:bCs/>
        </w:rPr>
      </w:pP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t>PO-11: </w:t>
      </w:r>
      <w:r w:rsidR="003F54AC" w:rsidRPr="00864B6F">
        <w:rPr>
          <w:rStyle w:val="Strong"/>
        </w:rPr>
        <w:t>Entrepreneurship and Innovation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Foster innovation and entrepreneurship in the pharmaceutical sector through the development of novel drugs, delivery systems, or analytical methodologies.</w:t>
      </w:r>
    </w:p>
    <w:p w:rsidR="00864B6F" w:rsidRDefault="008503C0" w:rsidP="00864B6F">
      <w:pPr>
        <w:pStyle w:val="NormalWeb"/>
        <w:spacing w:line="360" w:lineRule="auto"/>
        <w:jc w:val="both"/>
        <w:rPr>
          <w:rStyle w:val="Strong"/>
        </w:rPr>
      </w:pPr>
      <w:r w:rsidRPr="00864B6F">
        <w:rPr>
          <w:b/>
          <w:bCs/>
        </w:rPr>
        <w:lastRenderedPageBreak/>
        <w:t>PO-12: </w:t>
      </w:r>
      <w:r w:rsidR="003F54AC" w:rsidRPr="00864B6F">
        <w:rPr>
          <w:rStyle w:val="Strong"/>
        </w:rPr>
        <w:t>Lifelong Learning and Career Development</w:t>
      </w:r>
    </w:p>
    <w:p w:rsidR="003F54AC" w:rsidRPr="00864B6F" w:rsidRDefault="003F54AC" w:rsidP="00864B6F">
      <w:pPr>
        <w:pStyle w:val="NormalWeb"/>
        <w:spacing w:line="360" w:lineRule="auto"/>
        <w:jc w:val="both"/>
      </w:pPr>
      <w:r w:rsidRPr="00864B6F">
        <w:br/>
        <w:t>Engage in continuous learning, skill development, and professional growth to adapt to evolving technologies in pharmaceutical sciences.</w:t>
      </w:r>
    </w:p>
    <w:p w:rsidR="003F54AC" w:rsidRPr="00864B6F" w:rsidRDefault="003F54AC" w:rsidP="00864B6F">
      <w:pPr>
        <w:spacing w:after="120" w:line="360" w:lineRule="auto"/>
        <w:jc w:val="both"/>
        <w:rPr>
          <w:bCs/>
          <w:sz w:val="24"/>
          <w:szCs w:val="24"/>
          <w:lang w:val="en-IN" w:eastAsia="en-IN"/>
        </w:rPr>
      </w:pPr>
    </w:p>
    <w:p w:rsidR="00E92B1D" w:rsidRPr="00864B6F" w:rsidRDefault="00E92B1D" w:rsidP="00864B6F">
      <w:pPr>
        <w:spacing w:line="360" w:lineRule="auto"/>
        <w:jc w:val="both"/>
        <w:rPr>
          <w:b/>
          <w:sz w:val="24"/>
          <w:szCs w:val="24"/>
        </w:rPr>
      </w:pPr>
    </w:p>
    <w:sectPr w:rsidR="00E92B1D" w:rsidRPr="00864B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FD" w:rsidRDefault="001463FD" w:rsidP="00716FB6">
      <w:r>
        <w:separator/>
      </w:r>
    </w:p>
  </w:endnote>
  <w:endnote w:type="continuationSeparator" w:id="0">
    <w:p w:rsidR="001463FD" w:rsidRDefault="001463FD" w:rsidP="0071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FD" w:rsidRDefault="001463FD">
    <w:pPr>
      <w:pStyle w:val="Footer"/>
    </w:pPr>
  </w:p>
  <w:p w:rsidR="001463FD" w:rsidRDefault="00146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FD" w:rsidRDefault="001463FD" w:rsidP="00716FB6">
      <w:r>
        <w:separator/>
      </w:r>
    </w:p>
  </w:footnote>
  <w:footnote w:type="continuationSeparator" w:id="0">
    <w:p w:rsidR="001463FD" w:rsidRDefault="001463FD" w:rsidP="00716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FD" w:rsidRDefault="001463FD">
    <w:pPr>
      <w:pStyle w:val="Header"/>
    </w:pPr>
    <w:r>
      <w:rPr>
        <w:noProof/>
        <w:lang w:eastAsia="en-IN"/>
      </w:rPr>
      <w:drawing>
        <wp:inline distT="0" distB="0" distL="0" distR="0" wp14:anchorId="5C668E49" wp14:editId="656D78B5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3CBB"/>
    <w:multiLevelType w:val="hybridMultilevel"/>
    <w:tmpl w:val="29BEEAC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3AE712F"/>
    <w:multiLevelType w:val="multilevel"/>
    <w:tmpl w:val="DB8A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B0349"/>
    <w:multiLevelType w:val="hybridMultilevel"/>
    <w:tmpl w:val="3DF2EFCE"/>
    <w:lvl w:ilvl="0" w:tplc="36E4145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1705C"/>
    <w:multiLevelType w:val="multilevel"/>
    <w:tmpl w:val="96AA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03A56"/>
    <w:rsid w:val="00017A35"/>
    <w:rsid w:val="00045CA0"/>
    <w:rsid w:val="0006660A"/>
    <w:rsid w:val="0007148F"/>
    <w:rsid w:val="00095B40"/>
    <w:rsid w:val="00106A0A"/>
    <w:rsid w:val="001463FD"/>
    <w:rsid w:val="002040A4"/>
    <w:rsid w:val="002A6EAE"/>
    <w:rsid w:val="00371E18"/>
    <w:rsid w:val="003A783B"/>
    <w:rsid w:val="003B287D"/>
    <w:rsid w:val="003F54AC"/>
    <w:rsid w:val="0041694D"/>
    <w:rsid w:val="00573F0B"/>
    <w:rsid w:val="005C7D22"/>
    <w:rsid w:val="00630D81"/>
    <w:rsid w:val="00697FE1"/>
    <w:rsid w:val="00716FB6"/>
    <w:rsid w:val="00802BEA"/>
    <w:rsid w:val="008503C0"/>
    <w:rsid w:val="00864B6F"/>
    <w:rsid w:val="0087119E"/>
    <w:rsid w:val="008971AD"/>
    <w:rsid w:val="008B78FC"/>
    <w:rsid w:val="00997EA4"/>
    <w:rsid w:val="009C445F"/>
    <w:rsid w:val="00B35B6B"/>
    <w:rsid w:val="00B36A75"/>
    <w:rsid w:val="00C217C8"/>
    <w:rsid w:val="00C66453"/>
    <w:rsid w:val="00C72E6F"/>
    <w:rsid w:val="00D117E3"/>
    <w:rsid w:val="00D13359"/>
    <w:rsid w:val="00D324AD"/>
    <w:rsid w:val="00D71453"/>
    <w:rsid w:val="00DF66D6"/>
    <w:rsid w:val="00E65DD4"/>
    <w:rsid w:val="00E92B1D"/>
    <w:rsid w:val="00EB363A"/>
    <w:rsid w:val="00EC76C8"/>
    <w:rsid w:val="00F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7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17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117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117E3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95B4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30D8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87119E"/>
  </w:style>
  <w:style w:type="character" w:customStyle="1" w:styleId="Heading3Char">
    <w:name w:val="Heading 3 Char"/>
    <w:basedOn w:val="DefaultParagraphFont"/>
    <w:link w:val="Heading3"/>
    <w:uiPriority w:val="9"/>
    <w:semiHidden/>
    <w:rsid w:val="003F54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7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17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117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117E3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95B4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30D8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87119E"/>
  </w:style>
  <w:style w:type="character" w:customStyle="1" w:styleId="Heading3Char">
    <w:name w:val="Heading 3 Char"/>
    <w:basedOn w:val="DefaultParagraphFont"/>
    <w:link w:val="Heading3"/>
    <w:uiPriority w:val="9"/>
    <w:semiHidden/>
    <w:rsid w:val="003F54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18</cp:revision>
  <dcterms:created xsi:type="dcterms:W3CDTF">2025-01-31T05:23:00Z</dcterms:created>
  <dcterms:modified xsi:type="dcterms:W3CDTF">2025-02-07T13:25:00Z</dcterms:modified>
</cp:coreProperties>
</file>