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A8" w:rsidRPr="002E6F7E" w:rsidRDefault="002E6F7E" w:rsidP="002E6F7E">
      <w:pPr>
        <w:jc w:val="both"/>
        <w:rPr>
          <w:rFonts w:ascii="Times New Roman" w:hAnsi="Times New Roman" w:cs="Times New Roman"/>
          <w:b/>
          <w:sz w:val="24"/>
          <w:lang w:val="en-US"/>
        </w:rPr>
      </w:pPr>
      <w:r w:rsidRPr="002E6F7E">
        <w:rPr>
          <w:rFonts w:ascii="Times New Roman" w:hAnsi="Times New Roman" w:cs="Times New Roman"/>
          <w:b/>
          <w:sz w:val="24"/>
          <w:lang w:val="en-US"/>
        </w:rPr>
        <w:t>BBA</w:t>
      </w:r>
      <w:bookmarkStart w:id="0" w:name="_GoBack"/>
      <w:bookmarkEnd w:id="0"/>
    </w:p>
    <w:tbl>
      <w:tblPr>
        <w:tblStyle w:val="TableGrid"/>
        <w:tblW w:w="9889" w:type="dxa"/>
        <w:tblLook w:val="04A0" w:firstRow="1" w:lastRow="0" w:firstColumn="1" w:lastColumn="0" w:noHBand="0" w:noVBand="1"/>
      </w:tblPr>
      <w:tblGrid>
        <w:gridCol w:w="576"/>
        <w:gridCol w:w="1149"/>
        <w:gridCol w:w="2069"/>
        <w:gridCol w:w="855"/>
        <w:gridCol w:w="5240"/>
      </w:tblGrid>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64</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Legal Aspects of Business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(BBA5101T)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Understand the basic legal framework for business operations.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contract law and its implications for business agreements.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Evaluate intellectual property rights and their protection.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Examine corporate governance and regulatory compliance.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role of dispute resolution mechanisms in business.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65</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p>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Organizational Behaviour</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(BBA5102T)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the fundamentals of organizational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individual and group dynamics in organizations.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leadership styles and their impact on performance.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motivation theories and their application in the workplace.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organizational culture and its effect on business success.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66</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Fundamental  of Accounting</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(BBA5103T)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basic principles and concepts of accounting.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financial statements and their components.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the process of recording transactions and bookkeeping.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accounting cycles and methods of depreciation.</w:t>
            </w:r>
          </w:p>
        </w:tc>
      </w:tr>
      <w:tr w:rsidR="002E6F7E" w:rsidRPr="00BF3E91" w:rsidTr="00247E93">
        <w:trPr>
          <w:trHeight w:val="309"/>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role of accounting in decision-making and financial reporting.</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67</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p>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General Management</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(BBA5104T)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Identify the levels of management (top, middle, and lower) and describe their roles, responsibilities, and decision-making authority.</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Apply the steps in the decision-making process effectively to solve managerial problems.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Develop and implement guidelines for making effective and informed managerial decisions.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Recognize the causes and sources of resistance to change at both individual and organizational levels</w:t>
            </w:r>
          </w:p>
        </w:tc>
      </w:tr>
      <w:tr w:rsidR="002E6F7E" w:rsidRPr="00BF3E91" w:rsidTr="00247E93">
        <w:trPr>
          <w:trHeight w:val="73"/>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 xml:space="preserve"> Explain the meaning and features of change management in an organizational context.</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68</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Health and Hygiene</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(MDC5101T)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basic health and hygiene concepts – Explain key health and hygiene practices.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Identify health risks and prevention methods – Recognize common health hazards and preventive measures.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Promote personal and public hygiene – Apply hygiene practices for individual and community health.</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sanitation standards – Evaluate sanitation practices and their impact on health.</w:t>
            </w:r>
          </w:p>
        </w:tc>
      </w:tr>
      <w:tr w:rsidR="002E6F7E" w:rsidRPr="00BF3E91" w:rsidTr="00247E93">
        <w:trPr>
          <w:trHeight w:val="319"/>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Adopt healthy lifestyle habits – Implement practices that promote overall well-being.</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69</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p>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General Hindi-I</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(AEC5GH1T)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भाषायी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ज्ञान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अभिव्यक्ति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और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संप्रेषण</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कौशल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परिमार्जन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हो</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व्याकरण</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ज्ञान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सृजनात्मकता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उपयोगी</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सिद्ध</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हो</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भाषायी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क्षमता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वैश्विक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परिदृश्य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उन्नयन्द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भाषा</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व्यावहारिक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ज्ञान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प्राप्त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लेखक</w:t>
            </w:r>
            <w:proofErr w:type="spellEnd"/>
            <w:r w:rsidRPr="00BF3E91">
              <w:rPr>
                <w:rFonts w:ascii="Times New Roman" w:hAnsi="Times New Roman" w:cs="Times New Roman"/>
                <w:sz w:val="24"/>
                <w:szCs w:val="24"/>
              </w:rPr>
              <w:t xml:space="preserve"> / </w:t>
            </w:r>
            <w:proofErr w:type="spellStart"/>
            <w:r w:rsidRPr="00BF3E91">
              <w:rPr>
                <w:rFonts w:ascii="Nirmala UI" w:hAnsi="Nirmala UI" w:cs="Nirmala UI"/>
                <w:sz w:val="24"/>
                <w:szCs w:val="24"/>
              </w:rPr>
              <w:t>कवि</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भावना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विकास</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तथा</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समाजोपयोगी</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गति</w:t>
            </w:r>
            <w:proofErr w:type="spellEnd"/>
            <w:r w:rsidRPr="00BF3E91">
              <w:rPr>
                <w:rFonts w:ascii="Times New Roman" w:hAnsi="Times New Roman" w:cs="Times New Roman"/>
                <w:sz w:val="24"/>
                <w:szCs w:val="24"/>
              </w:rPr>
              <w:t xml:space="preserve"> </w:t>
            </w:r>
            <w:r w:rsidRPr="00BF3E91">
              <w:rPr>
                <w:rFonts w:ascii="Nirmala UI" w:hAnsi="Nirmala UI" w:cs="Nirmala UI"/>
                <w:sz w:val="24"/>
                <w:szCs w:val="24"/>
              </w:rPr>
              <w:t>आ</w:t>
            </w:r>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70</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Business Communication </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(SEC5101T)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communication fundamentals – Explain key concepts of business communication.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written communication skills – Develop clear and concise business writing.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Improve verbal communication – Use effective speaking and listening skills in business settings.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non-verbal communication techniques – Recognize the importance of body language and tone.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Navigate professional communication tools – Utilize digital and formal communication platforms effectively.</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71</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p>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Environmental Studies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(VAC5EVST)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environmental concepts – Explain key environmental issues and their impact.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environmental problems – Identify and evaluate local and global environmental challenges.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sustainability practices – Promote sustainable practices for environmental conservation.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human-environment interaction – Understand the relationship between human activities and the environment.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environmental solutions – Create strategies for mitigating environmental degradation.</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72</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and Management</w:t>
            </w:r>
          </w:p>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Understand the core principles and functions of management.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organizational structures and management styles.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Evaluate strategic planning and decision-making processes.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Examine leadership, motivation, and team dynamics in business.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jc w:val="center"/>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Assess the role of innovation and change in business management.</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73</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p>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lastRenderedPageBreak/>
              <w:t>BBA 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lastRenderedPageBreak/>
              <w:t xml:space="preserve">Strategic </w:t>
            </w:r>
            <w:r w:rsidRPr="00BF3E91">
              <w:rPr>
                <w:rFonts w:ascii="Times New Roman" w:hAnsi="Times New Roman" w:cs="Times New Roman"/>
                <w:color w:val="000000"/>
                <w:sz w:val="24"/>
                <w:szCs w:val="24"/>
              </w:rPr>
              <w:lastRenderedPageBreak/>
              <w:t>Management</w:t>
            </w:r>
          </w:p>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the key concepts and frameworks of </w:t>
            </w:r>
            <w:r w:rsidRPr="00BF3E91">
              <w:rPr>
                <w:rFonts w:ascii="Times New Roman" w:hAnsi="Times New Roman" w:cs="Times New Roman"/>
                <w:sz w:val="24"/>
                <w:szCs w:val="24"/>
              </w:rPr>
              <w:lastRenderedPageBreak/>
              <w:t>strategic management.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internal and external factors affecting strategic decisions.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strategic planning, formulation, and implementation processes.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competitive advantage and market positioning strategies.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role of strategic control and performance evaluation.</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74</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Economics</w:t>
            </w:r>
          </w:p>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basic principles and concepts of business economics.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demand, supply, and market equilibrium in business decisions.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production and cost theories for business optimization.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pricing strategies and market structures in economics.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impact of government policies and economic conditions on business.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75</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p>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Ethics And Governance</w:t>
            </w:r>
          </w:p>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Understanding the key concepts of business ethics and governance.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Understanding corporate governance structures and their functions.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Describe the role of ethics in decision-making and its impact on stakeholders.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Understand the relationship between business ethics, corporate governance, and corporate social responsibility (CSR).</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color w:val="000000" w:themeColor="text1"/>
                <w:sz w:val="24"/>
                <w:szCs w:val="24"/>
              </w:rPr>
              <w:t>Analyze</w:t>
            </w:r>
            <w:proofErr w:type="spellEnd"/>
            <w:r w:rsidRPr="00BF3E91">
              <w:rPr>
                <w:rFonts w:ascii="Times New Roman" w:hAnsi="Times New Roman" w:cs="Times New Roman"/>
                <w:color w:val="000000" w:themeColor="text1"/>
                <w:sz w:val="24"/>
                <w:szCs w:val="24"/>
              </w:rPr>
              <w:t xml:space="preserve"> business decisions to ensure compliance with legal and ethical standards.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76</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II</w:t>
            </w:r>
          </w:p>
        </w:tc>
        <w:tc>
          <w:tcPr>
            <w:tcW w:w="2069"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Reporting and Editing (MDC5209T)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Understand reporting basics – Explain key reporting techniques and structures.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 xml:space="preserve">Develop writing and editing skills – Write and edit </w:t>
            </w:r>
            <w:r w:rsidRPr="00BF3E91">
              <w:rPr>
                <w:rFonts w:ascii="Times New Roman" w:hAnsi="Times New Roman" w:cs="Times New Roman"/>
                <w:sz w:val="24"/>
                <w:szCs w:val="24"/>
              </w:rPr>
              <w:lastRenderedPageBreak/>
              <w:t>clear, concise content.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Apply journalistic standards – Follow ethical and factual reporting guidelines.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after="200"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Master headline and story crafting – Create engaging headlines and story leads.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Utilize digital tools for editing – Use editing software for content refinement.</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77</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II</w:t>
            </w:r>
          </w:p>
        </w:tc>
        <w:tc>
          <w:tcPr>
            <w:tcW w:w="2069"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General English-I (AEC5GE1T)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rPr>
            </w:pPr>
            <w:r w:rsidRPr="00BF3E91">
              <w:rPr>
                <w:rFonts w:ascii="Times New Roman" w:hAnsi="Times New Roman" w:cs="Times New Roman"/>
                <w:sz w:val="24"/>
                <w:szCs w:val="24"/>
              </w:rPr>
              <w:t>Enhance vocabulary – Build a stronger English vocabulary.</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Improve grammar skills – Master basic English grammar rules.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Develop reading comprehension – Understand and interpret texts effectively.</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Refine writing skills – Compose clear and coherent written content.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Improve spoken English – Enhance fluency and pronunciation in speaking.</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78</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II</w:t>
            </w:r>
          </w:p>
        </w:tc>
        <w:tc>
          <w:tcPr>
            <w:tcW w:w="2069"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Public Speaking in Hindi Language and Leadership (SEC5202T)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sz w:val="24"/>
                <w:szCs w:val="24"/>
              </w:rPr>
              <w:t>Enhance Hindi communication skills – Speak clearly and effectively in Hindi.</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sz w:val="24"/>
                <w:szCs w:val="24"/>
              </w:rPr>
              <w:t>Master public speaking techniques – Use voice modulation and body language confidently.</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sz w:val="24"/>
                <w:szCs w:val="24"/>
              </w:rPr>
              <w:t>Develop leadership communication – Lead with effective verbal and non-verbal communication.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sz w:val="24"/>
                <w:szCs w:val="24"/>
              </w:rPr>
              <w:t>Build persuasive speaking skills – Convince and motivate audiences in Hindi.</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vAlign w:val="center"/>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jc w:val="both"/>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Handle audience interactions – Engage and respond to audience queries confidently.</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79</w:t>
            </w:r>
          </w:p>
        </w:tc>
        <w:tc>
          <w:tcPr>
            <w:tcW w:w="1149" w:type="dxa"/>
            <w:vMerge w:val="restart"/>
            <w:vAlign w:val="center"/>
          </w:tcPr>
          <w:p w:rsidR="002E6F7E" w:rsidRPr="00BF3E91" w:rsidRDefault="002E6F7E" w:rsidP="00247E93">
            <w:pPr>
              <w:spacing w:line="360" w:lineRule="auto"/>
              <w:jc w:val="center"/>
              <w:rPr>
                <w:rFonts w:ascii="Times New Roman" w:hAnsi="Times New Roman" w:cs="Times New Roman"/>
                <w:color w:val="000000"/>
                <w:sz w:val="24"/>
                <w:szCs w:val="24"/>
              </w:rPr>
            </w:pPr>
          </w:p>
          <w:p w:rsidR="002E6F7E" w:rsidRPr="00BF3E91" w:rsidRDefault="002E6F7E" w:rsidP="00247E93">
            <w:pPr>
              <w:spacing w:line="360" w:lineRule="auto"/>
              <w:jc w:val="center"/>
              <w:rPr>
                <w:rFonts w:ascii="Times New Roman" w:hAnsi="Times New Roman" w:cs="Times New Roman"/>
                <w:color w:val="000000"/>
                <w:sz w:val="24"/>
                <w:szCs w:val="24"/>
              </w:rPr>
            </w:pPr>
            <w:r w:rsidRPr="00BF3E91">
              <w:rPr>
                <w:rFonts w:ascii="Times New Roman" w:hAnsi="Times New Roman" w:cs="Times New Roman"/>
                <w:color w:val="000000"/>
                <w:sz w:val="24"/>
                <w:szCs w:val="24"/>
              </w:rPr>
              <w:t>BBA II</w:t>
            </w:r>
          </w:p>
        </w:tc>
        <w:tc>
          <w:tcPr>
            <w:tcW w:w="2069"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Heritage of Rajasthan (VAC5201T)</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Understand Rajasthan's cultural history – Learn about Rajasthan’s rich cultural heritage.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Explore architectural heritage – Study the unique architecture of Rajasthan.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traditional art and crafts – Examine </w:t>
            </w:r>
            <w:r w:rsidRPr="00BF3E91">
              <w:rPr>
                <w:rFonts w:ascii="Times New Roman" w:hAnsi="Times New Roman" w:cs="Times New Roman"/>
                <w:sz w:val="24"/>
                <w:szCs w:val="24"/>
              </w:rPr>
              <w:lastRenderedPageBreak/>
              <w:t>Rajasthan's traditional arts and crafts.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sz w:val="24"/>
                <w:szCs w:val="24"/>
              </w:rPr>
              <w:t>Understand regional festivals – Learn about the significance of Rajasthan’s festivals.</w:t>
            </w:r>
          </w:p>
        </w:tc>
      </w:tr>
      <w:tr w:rsidR="002E6F7E" w:rsidRPr="00BF3E91" w:rsidTr="00247E93">
        <w:trPr>
          <w:trHeight w:val="309"/>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Rajasthan's folk music and dance – Appreciate the folk music and dance forms of Rajasthan.</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80</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BBA III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Income Tax</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BB-CC-301</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widowControl w:val="0"/>
              <w:autoSpaceDE w:val="0"/>
              <w:autoSpaceDN w:val="0"/>
              <w:adjustRightInd w:val="0"/>
              <w:spacing w:before="2" w:line="360" w:lineRule="auto"/>
              <w:jc w:val="both"/>
              <w:rPr>
                <w:rFonts w:ascii="Times New Roman" w:hAnsi="Times New Roman" w:cs="Times New Roman"/>
                <w:sz w:val="24"/>
                <w:szCs w:val="24"/>
              </w:rPr>
            </w:pPr>
            <w:r w:rsidRPr="00BF3E91">
              <w:rPr>
                <w:rFonts w:ascii="Times New Roman" w:hAnsi="Times New Roman" w:cs="Times New Roman"/>
                <w:sz w:val="24"/>
                <w:szCs w:val="24"/>
              </w:rPr>
              <w:t xml:space="preserve">Understanding the fundamental law of income tax laws in India.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widowControl w:val="0"/>
              <w:autoSpaceDE w:val="0"/>
              <w:autoSpaceDN w:val="0"/>
              <w:adjustRightInd w:val="0"/>
              <w:spacing w:before="2" w:line="360" w:lineRule="auto"/>
              <w:jc w:val="both"/>
              <w:rPr>
                <w:rFonts w:ascii="Times New Roman" w:hAnsi="Times New Roman" w:cs="Times New Roman"/>
                <w:sz w:val="24"/>
                <w:szCs w:val="24"/>
              </w:rPr>
            </w:pPr>
            <w:r w:rsidRPr="00BF3E91">
              <w:rPr>
                <w:rFonts w:ascii="Times New Roman" w:hAnsi="Times New Roman" w:cs="Times New Roman"/>
                <w:sz w:val="24"/>
                <w:szCs w:val="24"/>
              </w:rPr>
              <w:t>Understanding the relationship between residential status of an assessed and its relationship with the tax incidence.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widowControl w:val="0"/>
              <w:autoSpaceDE w:val="0"/>
              <w:autoSpaceDN w:val="0"/>
              <w:adjustRightInd w:val="0"/>
              <w:spacing w:before="2" w:line="360" w:lineRule="auto"/>
              <w:jc w:val="both"/>
              <w:rPr>
                <w:rFonts w:ascii="Times New Roman" w:hAnsi="Times New Roman" w:cs="Times New Roman"/>
                <w:sz w:val="24"/>
                <w:szCs w:val="24"/>
              </w:rPr>
            </w:pPr>
            <w:r w:rsidRPr="00BF3E91">
              <w:rPr>
                <w:rFonts w:ascii="Times New Roman" w:hAnsi="Times New Roman" w:cs="Times New Roman"/>
                <w:sz w:val="24"/>
                <w:szCs w:val="24"/>
              </w:rPr>
              <w:t>Calculation of incomes under the five head of incomes: Salaries, House property, Profits and Gains from Business or Profession, Capital Gains and other sources.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widowControl w:val="0"/>
              <w:autoSpaceDE w:val="0"/>
              <w:autoSpaceDN w:val="0"/>
              <w:adjustRightInd w:val="0"/>
              <w:spacing w:before="2" w:line="360" w:lineRule="auto"/>
              <w:jc w:val="both"/>
              <w:rPr>
                <w:rFonts w:ascii="Times New Roman" w:hAnsi="Times New Roman" w:cs="Times New Roman"/>
                <w:sz w:val="24"/>
                <w:szCs w:val="24"/>
              </w:rPr>
            </w:pPr>
            <w:r w:rsidRPr="00BF3E91">
              <w:rPr>
                <w:rFonts w:ascii="Times New Roman" w:hAnsi="Times New Roman" w:cs="Times New Roman"/>
                <w:sz w:val="24"/>
                <w:szCs w:val="24"/>
              </w:rPr>
              <w:t>Understanding several of ways of tax planning and determination of taxable income of an individual.</w:t>
            </w:r>
          </w:p>
        </w:tc>
      </w:tr>
      <w:tr w:rsidR="002E6F7E" w:rsidRPr="00BF3E91" w:rsidTr="00247E93">
        <w:trPr>
          <w:trHeight w:val="73"/>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widowControl w:val="0"/>
              <w:autoSpaceDE w:val="0"/>
              <w:autoSpaceDN w:val="0"/>
              <w:adjustRightInd w:val="0"/>
              <w:spacing w:before="2" w:line="360" w:lineRule="auto"/>
              <w:jc w:val="both"/>
              <w:rPr>
                <w:rFonts w:ascii="Times New Roman" w:hAnsi="Times New Roman" w:cs="Times New Roman"/>
                <w:sz w:val="24"/>
                <w:szCs w:val="24"/>
              </w:rPr>
            </w:pPr>
            <w:r w:rsidRPr="00BF3E91">
              <w:rPr>
                <w:rFonts w:ascii="Times New Roman" w:hAnsi="Times New Roman" w:cs="Times New Roman"/>
                <w:sz w:val="24"/>
                <w:szCs w:val="24"/>
              </w:rPr>
              <w:t>Understandings the various types and rates of Deductions.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81</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Corporate Finance</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BB-CC-302</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To Understand the Nature, scope, approaches and objectives of Financial Management.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Concept and Measurement of Cost of Capital.</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 Gain the knowledge on application of different techniques of capital budgeting under riskless and risky conditions for the investment decisions.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Gain the knowledge on application of relevance and irrelevance theories to take dividend decisions. </w:t>
            </w:r>
          </w:p>
        </w:tc>
      </w:tr>
      <w:tr w:rsidR="002E6F7E" w:rsidRPr="00BF3E91" w:rsidTr="00247E93">
        <w:trPr>
          <w:trHeight w:val="319"/>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different methods of corporate restructuring and the principles of good governance.</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82</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Financial Marketing and Institution</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BB-CC-303</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Structure of Indian Financial System.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Different financial institutions, Markets and the services, which are available in India.</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Stock Markets, Regional and Modern Stock    Exchanges,    International    Stock    Exchanges,    Demutualization    of    exchanges, Comparison between NSE and BSE, </w:t>
            </w:r>
            <w:proofErr w:type="gramStart"/>
            <w:r w:rsidRPr="00BF3E91">
              <w:rPr>
                <w:rFonts w:ascii="Times New Roman" w:hAnsi="Times New Roman" w:cs="Times New Roman"/>
                <w:sz w:val="24"/>
                <w:szCs w:val="24"/>
              </w:rPr>
              <w:t>Raising</w:t>
            </w:r>
            <w:proofErr w:type="gramEnd"/>
            <w:r w:rsidRPr="00BF3E91">
              <w:rPr>
                <w:rFonts w:ascii="Times New Roman" w:hAnsi="Times New Roman" w:cs="Times New Roman"/>
                <w:sz w:val="24"/>
                <w:szCs w:val="24"/>
              </w:rPr>
              <w:t xml:space="preserve"> of funds in International Markets.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Money Markets &amp; Debt Markets in India.</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Functions of financial markets and intermediary institutions.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83</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Ethics and Corporate Governance</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BB-CC-304</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To understand the Business Ethics and to provide best practices of business ethics.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To develop various corporate social Responsibilities and practices in their professional life.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To Imbibe the ethical issues in corporate governance and to adhere to the ethical codes.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importance of ethics and corporate governance in the day-to-day working of organizations.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Learn scope of business ethics in Compliance, finance, Human resources, marketing, and production.</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84</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III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IT Tools in Business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BB-CC-305</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Computer fundamentals, functions and classifications.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Functioning of a computer software and window operating system.</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Proficiency in Microsoft Word and Excel.</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Formatting and editing features to enhance worksheets.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To use styles themes and conditional formats to customize worksheets.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85</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Macro Economics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BB-CC-401</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the determination of key macroeconomic variables.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 xml:space="preserve">Describe models of determination of equilibrium </w:t>
            </w:r>
            <w:r w:rsidRPr="00BF3E91">
              <w:rPr>
                <w:rFonts w:ascii="Times New Roman" w:hAnsi="Times New Roman" w:cs="Times New Roman"/>
                <w:sz w:val="24"/>
                <w:szCs w:val="24"/>
                <w:lang w:val="en-US"/>
              </w:rPr>
              <w:lastRenderedPageBreak/>
              <w:t>outputs, prices and rate of interest.</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Analyze the role of the Government in an economy and examine how it uses its fiscal and monetary policy to influence macroeconomic variables.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Explain the working of an open economy.</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86</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Quantitative techniques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BB-CC-402</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and develop insights and knowledge base of various concepts of Quantitative Techniques.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Develop skills for effectively analyze and apply Quantitative Techniques in decision-making.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Identify, formulate and solve Linear Programming Problems graphically, mathematically and by using, excel solver.</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Develop critical thinking and use PERT and CPM techniques to improve decision-making.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Identify different types of decision-making environments and choose the appropriate decision-making approaches for each.</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87</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Financial Econometrics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BB-CC-403</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Understanding of financial econometric concepts and techniques.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Interpretation of regression models with cross-sectional financial data.</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Understanding of Asset price volatility models.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Understanding of simultaneous-equation models in financial time series, and economic forecasting.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Use of Dummy Variables to model qualitative/Binary/Structural      changes, Other  Functional  Forms,  Qualitative  Response  Regression  Models  or  Regression  Models.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88</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Production and Operation Management</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BB-GE-404</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 xml:space="preserve">Understand the core features of the operations and production management function at the operational and strategic levels, specifically the relationships between people, process, technology, productivity </w:t>
            </w:r>
            <w:r w:rsidRPr="00BF3E91">
              <w:rPr>
                <w:rFonts w:ascii="Times New Roman" w:hAnsi="Times New Roman" w:cs="Times New Roman"/>
                <w:sz w:val="24"/>
                <w:szCs w:val="24"/>
                <w:lang w:val="en-US"/>
              </w:rPr>
              <w:lastRenderedPageBreak/>
              <w:t>and quality and how it contributes to the competitiveness of firms.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Students will develop an integrated framework for strategic thinking and decision making to analyses the enterprise as a whole with a specific focus on production delivery processes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Develop the ability to identify operational methodologies to assess and improve an organizations performance.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Assess the OPM function performance and capabilities in various organizations.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89</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BBA IV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Financial Software Package</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BB-SEC-405</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Learn computerized accounts and extraction of data from a financial database.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Enhance the learning in the core papers of Business Accounting and Financial Management.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The facilities provided by the Accounting Software Package.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Creating the required accounts and linking them to appropriate class.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Financial  Database  such  as  Prowess  from  CMIE,  Capitoline,  ACE  or  any  other equivalent</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90</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BBA 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Investment Analysis &amp; Portfolio Management</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BB-CC-501</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Demonstrate a basic understanding of investments and the nuances of investing.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Exhibit the acquaintance of the securities market and its constituents.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Apply knowledge gained to perform analysis of various securities.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Analyze and apply models to securities performance and forecasting.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Construct optimal portfolios and evaluate those using models.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91</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BBA 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Financial Derivatives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BB-CC-502</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Origin and important features of derivatives.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 Students will understand the need of financial </w:t>
            </w:r>
            <w:r w:rsidRPr="00BF3E91">
              <w:rPr>
                <w:rFonts w:ascii="Times New Roman" w:hAnsi="Times New Roman" w:cs="Times New Roman"/>
                <w:sz w:val="24"/>
                <w:szCs w:val="24"/>
              </w:rPr>
              <w:lastRenderedPageBreak/>
              <w:t>derivatives.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 It will enable the students to select right kind of derivatives amongst forward, futures, options, Greeks, swaps for risk hedging.</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option pricing models.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Able to distinguish among hedging, speculation and arbitrage.</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92</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BBA 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Investment banking and Financial Services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BB-DSE-503</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Overview, Developments and Challenges of Indian Financial System.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the importance and relevance of Investment Bankers in any Financial System. </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entire process of raising funds from primary markets along with the concerned regulations applicable in India.</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various financial services available in financial markets particularly in India along with the latest innovations and technological integration in the field of finance.</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93</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BBA V</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Corporate analysis &amp; Valuation</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BB-DSE-504</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the importance and relevance of Annual Report of a Company.</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Able to analyses both qualitative (beyond balance sheet) and quantitative information available in the annual reports for determining the financial health of the company, Bank and NBFC’s.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the various methods of Equity and Firm valuations both in certain and risky conditions.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 xml:space="preserve">Students are able to understand the practical application of different valuation model in valuing equity and firm through </w:t>
            </w:r>
            <w:proofErr w:type="spellStart"/>
            <w:r w:rsidRPr="00BF3E91">
              <w:rPr>
                <w:rFonts w:ascii="Times New Roman" w:hAnsi="Times New Roman" w:cs="Times New Roman"/>
                <w:sz w:val="24"/>
                <w:szCs w:val="24"/>
                <w:lang w:val="en-US"/>
              </w:rPr>
              <w:t>modelling</w:t>
            </w:r>
            <w:proofErr w:type="spellEnd"/>
            <w:r w:rsidRPr="00BF3E91">
              <w:rPr>
                <w:rFonts w:ascii="Times New Roman" w:hAnsi="Times New Roman" w:cs="Times New Roman"/>
                <w:sz w:val="24"/>
                <w:szCs w:val="24"/>
                <w:lang w:val="en-US"/>
              </w:rPr>
              <w:t xml:space="preserve"> of these methods using excel.</w:t>
            </w:r>
          </w:p>
        </w:tc>
      </w:tr>
      <w:tr w:rsidR="002E6F7E" w:rsidRPr="00BF3E91" w:rsidTr="00247E93">
        <w:trPr>
          <w:trHeight w:val="73"/>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the Valuation of brands and intellectual capitals.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94</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BBA VI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Corporate </w:t>
            </w:r>
            <w:r w:rsidRPr="00BF3E91">
              <w:rPr>
                <w:rFonts w:ascii="Times New Roman" w:hAnsi="Times New Roman" w:cs="Times New Roman"/>
                <w:color w:val="000000"/>
                <w:sz w:val="24"/>
                <w:szCs w:val="24"/>
              </w:rPr>
              <w:lastRenderedPageBreak/>
              <w:t xml:space="preserve">Restructuring </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BB-CC-601</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 xml:space="preserve">Understand the role and strength of corporate </w:t>
            </w:r>
            <w:r w:rsidRPr="00BF3E91">
              <w:rPr>
                <w:rFonts w:ascii="Times New Roman" w:hAnsi="Times New Roman" w:cs="Times New Roman"/>
                <w:sz w:val="24"/>
                <w:szCs w:val="24"/>
                <w:lang w:val="en-US"/>
              </w:rPr>
              <w:lastRenderedPageBreak/>
              <w:t>restructuring for growth.</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Facilitate the understanding of process and economic rationales of various corporate restructuring tools such as takeovers, acquisitions, joint ventures, disinvestments, amalgamations, buyback of shares, mergers, demergers, reverse mergers, etc.</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Able to understand the anti-takeover strategies to avoid hostile acquisition.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Enable the student to acquire analytical skills in analyzing real-world cases in the need for corporate restructuring in a respective venture.</w:t>
            </w:r>
          </w:p>
        </w:tc>
      </w:tr>
      <w:tr w:rsidR="002E6F7E" w:rsidRPr="00BF3E91" w:rsidTr="00247E93">
        <w:trPr>
          <w:trHeight w:val="319"/>
        </w:trPr>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the post-merger evaluation.</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95</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BBA VI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International Finance</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BB-CC-602</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Explain the fundamental theories and concepts of international trade and finance and apply for the management decisions.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Apply functions, provisions of international trade system and functions to facilitate the global trade. Students will be able analyses impact of WTO on current global trade in detail.</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proofErr w:type="spellStart"/>
            <w:r w:rsidRPr="00BF3E91">
              <w:rPr>
                <w:rFonts w:ascii="Times New Roman" w:hAnsi="Times New Roman" w:cs="Times New Roman"/>
                <w:sz w:val="24"/>
                <w:szCs w:val="24"/>
                <w:lang w:val="en-US"/>
              </w:rPr>
              <w:t>Analyse</w:t>
            </w:r>
            <w:proofErr w:type="spellEnd"/>
            <w:r w:rsidRPr="00BF3E91">
              <w:rPr>
                <w:rFonts w:ascii="Times New Roman" w:hAnsi="Times New Roman" w:cs="Times New Roman"/>
                <w:sz w:val="24"/>
                <w:szCs w:val="24"/>
                <w:lang w:val="en-US"/>
              </w:rPr>
              <w:t xml:space="preserve"> the organizations allocate portfolio assets and take investment decisions. Students will be able to apply the different methods to mitigate the foreign trade and exchange rate risks in their respective organizations after they are recruited.</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Integrate concept and apply the knowledge of capital budgeting decisions to mitigate the financial risks of organizations.</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96</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BBA VI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Tax Planning</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BB-DSE-603</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the different Tax Planning management, tax evasion, tax avoidance, corporate tax in India.</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rPr>
              <w:t>Tax planning with reference to financial management decision</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Tax planning with reference to specific management decisions - Make or buy, own or lease, repair or replace.</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Identify the relevance of tax planning with reference to setting up a new business and various management decisions.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Besides students will gather knowledge about TDS, and double taxation relief.</w:t>
            </w:r>
          </w:p>
        </w:tc>
      </w:tr>
      <w:tr w:rsidR="002E6F7E" w:rsidRPr="00BF3E91" w:rsidTr="00247E93">
        <w:tc>
          <w:tcPr>
            <w:tcW w:w="576" w:type="dxa"/>
            <w:vMerge w:val="restart"/>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97</w:t>
            </w:r>
          </w:p>
        </w:tc>
        <w:tc>
          <w:tcPr>
            <w:tcW w:w="1149" w:type="dxa"/>
            <w:vMerge w:val="restart"/>
          </w:tcPr>
          <w:p w:rsidR="002E6F7E" w:rsidRPr="00BF3E91" w:rsidRDefault="002E6F7E"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BBA VI</w:t>
            </w:r>
          </w:p>
        </w:tc>
        <w:tc>
          <w:tcPr>
            <w:tcW w:w="2069" w:type="dxa"/>
            <w:vMerge w:val="restart"/>
          </w:tcPr>
          <w:p w:rsidR="002E6F7E" w:rsidRPr="00BF3E91" w:rsidRDefault="002E6F7E"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International Trade blocks and Multi - lateral Agencies</w:t>
            </w:r>
          </w:p>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BB-DSE-604</w:t>
            </w: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Explain the fundamental theories and concepts of international trade and finance and apply for the management decisions.</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Apply functions, provisions of international trade system and functions to facilitate the global trade. Students will be able analyses impact of WTO on current global trade in Detail.</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proofErr w:type="spellStart"/>
            <w:r w:rsidRPr="00BF3E91">
              <w:rPr>
                <w:rFonts w:ascii="Times New Roman" w:hAnsi="Times New Roman" w:cs="Times New Roman"/>
                <w:sz w:val="24"/>
                <w:szCs w:val="24"/>
                <w:lang w:val="en-US"/>
              </w:rPr>
              <w:t>Analyse</w:t>
            </w:r>
            <w:proofErr w:type="spellEnd"/>
            <w:r w:rsidRPr="00BF3E91">
              <w:rPr>
                <w:rFonts w:ascii="Times New Roman" w:hAnsi="Times New Roman" w:cs="Times New Roman"/>
                <w:sz w:val="24"/>
                <w:szCs w:val="24"/>
                <w:lang w:val="en-US"/>
              </w:rPr>
              <w:t xml:space="preserve"> the organizations allocate portfolio assets and take investment decisions. Students will be able to apply the different methods to mitigate the foreign trade and exchange rate risks in their respective organizations after they are recruited.</w:t>
            </w:r>
          </w:p>
        </w:tc>
      </w:tr>
      <w:tr w:rsidR="002E6F7E" w:rsidRPr="00BF3E91" w:rsidTr="00247E93">
        <w:tc>
          <w:tcPr>
            <w:tcW w:w="576"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114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2069" w:type="dxa"/>
            <w:vMerge/>
          </w:tcPr>
          <w:p w:rsidR="002E6F7E" w:rsidRPr="00BF3E91" w:rsidRDefault="002E6F7E" w:rsidP="00247E93">
            <w:pPr>
              <w:spacing w:line="360" w:lineRule="auto"/>
              <w:rPr>
                <w:rFonts w:ascii="Times New Roman" w:hAnsi="Times New Roman" w:cs="Times New Roman"/>
                <w:sz w:val="24"/>
                <w:szCs w:val="24"/>
                <w:lang w:val="en-US"/>
              </w:rPr>
            </w:pPr>
          </w:p>
        </w:tc>
        <w:tc>
          <w:tcPr>
            <w:tcW w:w="855"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2E6F7E" w:rsidRPr="00BF3E91" w:rsidRDefault="002E6F7E"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Integrate concept and apply the knowledge of capital budgeting decisions to mitigate the financial risks of organizations.</w:t>
            </w:r>
          </w:p>
        </w:tc>
      </w:tr>
    </w:tbl>
    <w:p w:rsidR="002E6F7E" w:rsidRPr="002E6F7E" w:rsidRDefault="002E6F7E" w:rsidP="002E6F7E">
      <w:pPr>
        <w:jc w:val="both"/>
        <w:rPr>
          <w:rFonts w:ascii="Times New Roman" w:hAnsi="Times New Roman" w:cs="Times New Roman"/>
          <w:sz w:val="24"/>
          <w:lang w:val="en-US"/>
        </w:rPr>
      </w:pPr>
    </w:p>
    <w:sectPr w:rsidR="002E6F7E" w:rsidRPr="002E6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668"/>
    <w:multiLevelType w:val="multilevel"/>
    <w:tmpl w:val="C21E96B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E307C"/>
    <w:multiLevelType w:val="multilevel"/>
    <w:tmpl w:val="708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620B1"/>
    <w:multiLevelType w:val="hybridMultilevel"/>
    <w:tmpl w:val="BF6C3C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F9C06B1"/>
    <w:multiLevelType w:val="hybridMultilevel"/>
    <w:tmpl w:val="DE78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927CC"/>
    <w:multiLevelType w:val="hybridMultilevel"/>
    <w:tmpl w:val="0776BA30"/>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
    <w:nsid w:val="1E5556C3"/>
    <w:multiLevelType w:val="hybridMultilevel"/>
    <w:tmpl w:val="406C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43111"/>
    <w:multiLevelType w:val="hybridMultilevel"/>
    <w:tmpl w:val="082A6EDA"/>
    <w:lvl w:ilvl="0" w:tplc="0FBAD7EE">
      <w:start w:val="1"/>
      <w:numFmt w:val="decimal"/>
      <w:lvlText w:val="%1."/>
      <w:lvlJc w:val="left"/>
      <w:pPr>
        <w:ind w:left="720" w:hanging="360"/>
      </w:pPr>
      <w:rPr>
        <w:rFonts w:ascii="Calibri" w:hAnsi="Calibri" w:cs="Calibri"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A695C"/>
    <w:multiLevelType w:val="hybridMultilevel"/>
    <w:tmpl w:val="6438191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CDA5142"/>
    <w:multiLevelType w:val="hybridMultilevel"/>
    <w:tmpl w:val="0BC2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02260"/>
    <w:multiLevelType w:val="multilevel"/>
    <w:tmpl w:val="083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91599"/>
    <w:multiLevelType w:val="hybridMultilevel"/>
    <w:tmpl w:val="20E6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80DD1"/>
    <w:multiLevelType w:val="hybridMultilevel"/>
    <w:tmpl w:val="5830B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B300A9"/>
    <w:multiLevelType w:val="hybridMultilevel"/>
    <w:tmpl w:val="272E6B32"/>
    <w:lvl w:ilvl="0" w:tplc="FEE64630">
      <w:start w:val="1"/>
      <w:numFmt w:val="decimal"/>
      <w:lvlText w:val="%1."/>
      <w:lvlJc w:val="left"/>
      <w:pPr>
        <w:ind w:left="720" w:hanging="360"/>
      </w:pPr>
      <w:rPr>
        <w:rFonts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363C1"/>
    <w:multiLevelType w:val="hybridMultilevel"/>
    <w:tmpl w:val="E8C2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A47185"/>
    <w:multiLevelType w:val="hybridMultilevel"/>
    <w:tmpl w:val="B9245234"/>
    <w:lvl w:ilvl="0" w:tplc="A944247A">
      <w:start w:val="1"/>
      <w:numFmt w:val="decimal"/>
      <w:lvlText w:val="%1."/>
      <w:lvlJc w:val="left"/>
      <w:pPr>
        <w:ind w:left="720" w:hanging="360"/>
      </w:pPr>
      <w:rPr>
        <w:rFonts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12"/>
  </w:num>
  <w:num w:numId="5">
    <w:abstractNumId w:val="8"/>
  </w:num>
  <w:num w:numId="6">
    <w:abstractNumId w:val="14"/>
  </w:num>
  <w:num w:numId="7">
    <w:abstractNumId w:val="3"/>
  </w:num>
  <w:num w:numId="8">
    <w:abstractNumId w:val="11"/>
  </w:num>
  <w:num w:numId="9">
    <w:abstractNumId w:val="10"/>
  </w:num>
  <w:num w:numId="10">
    <w:abstractNumId w:val="7"/>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39"/>
    <w:rsid w:val="002E6F7E"/>
    <w:rsid w:val="006D47A8"/>
    <w:rsid w:val="007463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7E"/>
  </w:style>
  <w:style w:type="paragraph" w:styleId="Footer">
    <w:name w:val="footer"/>
    <w:basedOn w:val="Normal"/>
    <w:link w:val="FooterChar"/>
    <w:uiPriority w:val="99"/>
    <w:unhideWhenUsed/>
    <w:rsid w:val="002E6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F7E"/>
  </w:style>
  <w:style w:type="paragraph" w:styleId="BalloonText">
    <w:name w:val="Balloon Text"/>
    <w:basedOn w:val="Normal"/>
    <w:link w:val="BalloonTextChar"/>
    <w:uiPriority w:val="99"/>
    <w:semiHidden/>
    <w:unhideWhenUsed/>
    <w:rsid w:val="002E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F7E"/>
    <w:rPr>
      <w:rFonts w:ascii="Tahoma" w:hAnsi="Tahoma" w:cs="Tahoma"/>
      <w:sz w:val="16"/>
      <w:szCs w:val="16"/>
    </w:rPr>
  </w:style>
  <w:style w:type="table" w:styleId="TableGrid">
    <w:name w:val="Table Grid"/>
    <w:basedOn w:val="TableNormal"/>
    <w:uiPriority w:val="59"/>
    <w:rsid w:val="002E6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2E6F7E"/>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2E6F7E"/>
    <w:rPr>
      <w:rFonts w:ascii="Times New Roman" w:eastAsia="Times New Roman" w:hAnsi="Times New Roman" w:cs="Times New Roman"/>
      <w:lang w:val="en-US"/>
    </w:rPr>
  </w:style>
  <w:style w:type="paragraph" w:styleId="NormalWeb">
    <w:name w:val="Normal (Web)"/>
    <w:basedOn w:val="Normal"/>
    <w:uiPriority w:val="99"/>
    <w:unhideWhenUsed/>
    <w:rsid w:val="002E6F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E6F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7E"/>
  </w:style>
  <w:style w:type="paragraph" w:styleId="Footer">
    <w:name w:val="footer"/>
    <w:basedOn w:val="Normal"/>
    <w:link w:val="FooterChar"/>
    <w:uiPriority w:val="99"/>
    <w:unhideWhenUsed/>
    <w:rsid w:val="002E6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F7E"/>
  </w:style>
  <w:style w:type="paragraph" w:styleId="BalloonText">
    <w:name w:val="Balloon Text"/>
    <w:basedOn w:val="Normal"/>
    <w:link w:val="BalloonTextChar"/>
    <w:uiPriority w:val="99"/>
    <w:semiHidden/>
    <w:unhideWhenUsed/>
    <w:rsid w:val="002E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F7E"/>
    <w:rPr>
      <w:rFonts w:ascii="Tahoma" w:hAnsi="Tahoma" w:cs="Tahoma"/>
      <w:sz w:val="16"/>
      <w:szCs w:val="16"/>
    </w:rPr>
  </w:style>
  <w:style w:type="table" w:styleId="TableGrid">
    <w:name w:val="Table Grid"/>
    <w:basedOn w:val="TableNormal"/>
    <w:uiPriority w:val="59"/>
    <w:rsid w:val="002E6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2E6F7E"/>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2E6F7E"/>
    <w:rPr>
      <w:rFonts w:ascii="Times New Roman" w:eastAsia="Times New Roman" w:hAnsi="Times New Roman" w:cs="Times New Roman"/>
      <w:lang w:val="en-US"/>
    </w:rPr>
  </w:style>
  <w:style w:type="paragraph" w:styleId="NormalWeb">
    <w:name w:val="Normal (Web)"/>
    <w:basedOn w:val="Normal"/>
    <w:uiPriority w:val="99"/>
    <w:unhideWhenUsed/>
    <w:rsid w:val="002E6F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E6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2630</Words>
  <Characters>14995</Characters>
  <Application>Microsoft Office Word</Application>
  <DocSecurity>0</DocSecurity>
  <Lines>124</Lines>
  <Paragraphs>35</Paragraphs>
  <ScaleCrop>false</ScaleCrop>
  <Company>home</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2025-02-03T05:21:00Z</dcterms:created>
  <dcterms:modified xsi:type="dcterms:W3CDTF">2025-02-03T05:23:00Z</dcterms:modified>
</cp:coreProperties>
</file>